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6D" w:rsidRDefault="00703A3B">
      <w:pPr>
        <w:framePr w:hSpace="180" w:wrap="auto" w:vAnchor="text" w:hAnchor="page" w:x="1225" w:y="-989"/>
        <w:rPr>
          <w:noProof/>
        </w:rPr>
      </w:pPr>
      <w:r>
        <w:rPr>
          <w:noProof/>
        </w:rPr>
        <w:t>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3615"/>
        <w:gridCol w:w="2268"/>
        <w:gridCol w:w="2268"/>
        <w:gridCol w:w="2055"/>
      </w:tblGrid>
      <w:tr w:rsidR="00AF0B6D" w:rsidTr="008864BE">
        <w:trPr>
          <w:trHeight w:val="480"/>
        </w:trPr>
        <w:tc>
          <w:tcPr>
            <w:tcW w:w="361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</w:tcBorders>
            <w:shd w:val="pct15" w:color="auto" w:fill="auto"/>
          </w:tcPr>
          <w:p w:rsidR="00AF0B6D" w:rsidRDefault="008E15A7" w:rsidP="008864BE">
            <w:pPr>
              <w:rPr>
                <w:rFonts w:ascii="V&amp;W Syntax (Adobe)" w:hAnsi="V&amp;W Syntax (Adobe)"/>
                <w:b/>
                <w:lang w:val="en-GB"/>
              </w:rPr>
            </w:pPr>
            <w:r>
              <w:rPr>
                <w:noProof/>
                <w:lang w:val="nl-NL"/>
              </w:rPr>
              <w:drawing>
                <wp:anchor distT="0" distB="0" distL="114300" distR="114300" simplePos="0" relativeHeight="251657728" behindDoc="0" locked="0" layoutInCell="1" allowOverlap="1" wp14:anchorId="719944EF" wp14:editId="1FF675AB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-803910</wp:posOffset>
                  </wp:positionV>
                  <wp:extent cx="793115" cy="681990"/>
                  <wp:effectExtent l="0" t="0" r="6985" b="3810"/>
                  <wp:wrapNone/>
                  <wp:docPr id="2" name="Afbeelding 2" descr="Logo Rijksoverhe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ijksoverhe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F0B6D">
              <w:rPr>
                <w:rFonts w:ascii="V&amp;W Syntax (Adobe)" w:hAnsi="V&amp;W Syntax (Adobe)"/>
                <w:b/>
                <w:sz w:val="28"/>
                <w:lang w:val="en-GB"/>
              </w:rPr>
              <w:t>Meetpunt</w:t>
            </w:r>
            <w:proofErr w:type="spellEnd"/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pct15" w:color="auto" w:fill="auto"/>
          </w:tcPr>
          <w:p w:rsidR="00AF0B6D" w:rsidRDefault="00AF0B6D" w:rsidP="008864BE">
            <w:pPr>
              <w:jc w:val="center"/>
              <w:rPr>
                <w:rFonts w:ascii="V&amp;W Syntax (Adobe)" w:hAnsi="V&amp;W Syntax (Adobe)"/>
                <w:sz w:val="28"/>
                <w:lang w:val="en-GB"/>
              </w:rPr>
            </w:pPr>
            <w:r>
              <w:rPr>
                <w:rFonts w:ascii="V&amp;W Syntax (Adobe)" w:hAnsi="V&amp;W Syntax (Adobe)"/>
                <w:sz w:val="28"/>
                <w:lang w:val="en-GB"/>
              </w:rPr>
              <w:t>CHLFA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6" w:space="0" w:color="000000"/>
            </w:tcBorders>
            <w:shd w:val="pct15" w:color="auto" w:fill="auto"/>
          </w:tcPr>
          <w:p w:rsidR="00AF0B6D" w:rsidRDefault="00AF0B6D" w:rsidP="008864BE">
            <w:pPr>
              <w:jc w:val="center"/>
              <w:rPr>
                <w:rFonts w:ascii="V&amp;W Syntax (Adobe)" w:hAnsi="V&amp;W Syntax (Adobe)"/>
                <w:sz w:val="28"/>
                <w:lang w:val="en-GB"/>
              </w:rPr>
            </w:pPr>
            <w:r>
              <w:rPr>
                <w:rFonts w:ascii="V&amp;W Syntax (Adobe)" w:hAnsi="V&amp;W Syntax (Adobe)"/>
                <w:sz w:val="28"/>
                <w:lang w:val="en-GB"/>
              </w:rPr>
              <w:t>PP</w:t>
            </w:r>
          </w:p>
        </w:tc>
        <w:tc>
          <w:tcPr>
            <w:tcW w:w="2055" w:type="dxa"/>
            <w:tcBorders>
              <w:top w:val="single" w:sz="12" w:space="0" w:color="000000"/>
              <w:bottom w:val="single" w:sz="6" w:space="0" w:color="000000"/>
              <w:right w:val="single" w:sz="6" w:space="0" w:color="auto"/>
            </w:tcBorders>
            <w:shd w:val="pct15" w:color="auto" w:fill="auto"/>
          </w:tcPr>
          <w:p w:rsidR="00AF0B6D" w:rsidRDefault="00AF0B6D" w:rsidP="008864BE">
            <w:pPr>
              <w:jc w:val="center"/>
              <w:rPr>
                <w:rFonts w:ascii="V&amp;W Syntax (Adobe)" w:hAnsi="V&amp;W Syntax (Adobe)"/>
                <w:sz w:val="28"/>
              </w:rPr>
            </w:pPr>
            <w:r>
              <w:rPr>
                <w:rFonts w:ascii="V&amp;W Syntax (Adobe)" w:hAnsi="V&amp;W Syntax (Adobe)"/>
                <w:sz w:val="28"/>
              </w:rPr>
              <w:t>ZS  PN  POC</w:t>
            </w:r>
          </w:p>
        </w:tc>
      </w:tr>
      <w:tr w:rsidR="00CD64D1" w:rsidTr="008864BE">
        <w:trPr>
          <w:trHeight w:val="369"/>
        </w:trPr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:rsidR="00CD64D1" w:rsidRDefault="00CD64D1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Goeree 2 oppervlakte - 3½ m.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nil"/>
              <w:bottom w:val="single" w:sz="6" w:space="0" w:color="000000"/>
              <w:right w:val="single" w:sz="6" w:space="0" w:color="auto"/>
            </w:tcBorders>
          </w:tcPr>
          <w:p w:rsidR="00CD64D1" w:rsidRPr="00A633B0" w:rsidRDefault="00CD64D1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CD64D1" w:rsidTr="008864BE">
        <w:trPr>
          <w:trHeight w:val="369"/>
        </w:trPr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:rsidR="00CD64D1" w:rsidRDefault="00CD64D1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Goeree 6 oppervlakte - 3½ m.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nil"/>
              <w:bottom w:val="single" w:sz="6" w:space="0" w:color="000000"/>
              <w:right w:val="single" w:sz="6" w:space="0" w:color="auto"/>
            </w:tcBorders>
          </w:tcPr>
          <w:p w:rsidR="00CD64D1" w:rsidRPr="00A633B0" w:rsidRDefault="00CD64D1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CD64D1" w:rsidTr="008864BE">
        <w:trPr>
          <w:trHeight w:val="369"/>
        </w:trPr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:rsidR="00CD64D1" w:rsidRDefault="00CD64D1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Schouwen 10 oppervlakte - 3½ m.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nil"/>
              <w:bottom w:val="single" w:sz="6" w:space="0" w:color="000000"/>
              <w:right w:val="single" w:sz="6" w:space="0" w:color="auto"/>
            </w:tcBorders>
          </w:tcPr>
          <w:p w:rsidR="00CD64D1" w:rsidRPr="00A633B0" w:rsidRDefault="00CD64D1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CD64D1" w:rsidTr="008864BE">
        <w:trPr>
          <w:trHeight w:val="369"/>
        </w:trPr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:rsidR="00CD64D1" w:rsidRDefault="00CD64D1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Walcheren 2 oppervlakte - 3½ m.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nil"/>
            </w:tcBorders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nil"/>
              <w:bottom w:val="single" w:sz="6" w:space="0" w:color="000000"/>
              <w:right w:val="single" w:sz="6" w:space="0" w:color="auto"/>
            </w:tcBorders>
          </w:tcPr>
          <w:p w:rsidR="00CD64D1" w:rsidRPr="00A633B0" w:rsidRDefault="00CD64D1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CD64D1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CD64D1" w:rsidRDefault="00CD64D1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Walcheren 20 oppervlakte - 3½ m.</w:t>
            </w:r>
          </w:p>
        </w:tc>
        <w:tc>
          <w:tcPr>
            <w:tcW w:w="2268" w:type="dxa"/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CD64D1" w:rsidRPr="00A633B0" w:rsidRDefault="00CD64D1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D64D1" w:rsidRPr="00A633B0" w:rsidRDefault="00CD64D1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2D363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2D3636" w:rsidRDefault="002D363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Walcheren 70 oppervlakte - 3½ m.</w:t>
            </w:r>
          </w:p>
        </w:tc>
        <w:tc>
          <w:tcPr>
            <w:tcW w:w="2268" w:type="dxa"/>
          </w:tcPr>
          <w:p w:rsidR="002D3636" w:rsidRPr="00A633B0" w:rsidRDefault="002D363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2D3636" w:rsidRPr="00A633B0" w:rsidRDefault="002D363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2D3636" w:rsidRPr="00A633B0" w:rsidRDefault="002D363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C83F48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C83F48" w:rsidRDefault="00C83F48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Noordwijk 70 oppervlakte - 3½ m.</w:t>
            </w:r>
          </w:p>
        </w:tc>
        <w:tc>
          <w:tcPr>
            <w:tcW w:w="2268" w:type="dxa"/>
          </w:tcPr>
          <w:p w:rsidR="00C83F48" w:rsidRPr="00A633B0" w:rsidRDefault="00C83F48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C83F48" w:rsidRPr="00A633B0" w:rsidRDefault="00C83F48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C83F48" w:rsidRPr="00A633B0" w:rsidRDefault="00C83F48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8414AB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8414AB" w:rsidRDefault="008414AB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Noordwijk 20 oppervlakte - 3½ m.</w:t>
            </w:r>
          </w:p>
        </w:tc>
        <w:tc>
          <w:tcPr>
            <w:tcW w:w="2268" w:type="dxa"/>
            <w:tcBorders>
              <w:bottom w:val="nil"/>
            </w:tcBorders>
          </w:tcPr>
          <w:p w:rsidR="008414AB" w:rsidRPr="00A633B0" w:rsidRDefault="008414AB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bottom w:val="nil"/>
            </w:tcBorders>
          </w:tcPr>
          <w:p w:rsidR="008414AB" w:rsidRPr="00A633B0" w:rsidRDefault="008414AB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nil"/>
              <w:right w:val="single" w:sz="6" w:space="0" w:color="auto"/>
            </w:tcBorders>
          </w:tcPr>
          <w:p w:rsidR="008414AB" w:rsidRPr="00A633B0" w:rsidRDefault="008414AB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8414AB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8414AB" w:rsidRDefault="008414AB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Noordwijk 10 oppervlakte - 3½ m.</w:t>
            </w:r>
          </w:p>
        </w:tc>
        <w:tc>
          <w:tcPr>
            <w:tcW w:w="2268" w:type="dxa"/>
          </w:tcPr>
          <w:p w:rsidR="008414AB" w:rsidRPr="00A633B0" w:rsidRDefault="008414AB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8414AB" w:rsidRPr="00A633B0" w:rsidRDefault="008414AB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8414AB" w:rsidRPr="00A633B0" w:rsidRDefault="008414AB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DF6556" w:rsidTr="008864BE">
        <w:trPr>
          <w:trHeight w:val="276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Noordwijk 10 ½ D</w:t>
            </w:r>
          </w:p>
        </w:tc>
        <w:tc>
          <w:tcPr>
            <w:tcW w:w="2268" w:type="dxa"/>
            <w:tcBorders>
              <w:bottom w:val="nil"/>
            </w:tcBorders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nil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Noordwijk 10 B+3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Noordwijk 2 oppervlakte - 3½ m.</w:t>
            </w:r>
          </w:p>
        </w:tc>
        <w:tc>
          <w:tcPr>
            <w:tcW w:w="2268" w:type="dxa"/>
          </w:tcPr>
          <w:p w:rsidR="00DF6556" w:rsidRPr="00A633B0" w:rsidRDefault="008414AB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DF6556" w:rsidRPr="00A633B0" w:rsidRDefault="008414AB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8414AB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Petten 5 oppervlakte - 3½ m.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4 oppervlakte - 3½ m.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6C74DE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6C74DE" w:rsidRDefault="006C74DE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10 oppervlakte - 3½ m.</w:t>
            </w:r>
          </w:p>
        </w:tc>
        <w:tc>
          <w:tcPr>
            <w:tcW w:w="2268" w:type="dxa"/>
          </w:tcPr>
          <w:p w:rsidR="006C74DE" w:rsidRPr="00A633B0" w:rsidRDefault="006C74DE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6C74DE" w:rsidRPr="00A633B0" w:rsidRDefault="006C74DE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C74DE" w:rsidRPr="00A633B0" w:rsidRDefault="006C74DE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FA4E4D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A4E4D" w:rsidRDefault="00FA4E4D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50 oppervlakte - 3½ m.</w:t>
            </w:r>
          </w:p>
        </w:tc>
        <w:tc>
          <w:tcPr>
            <w:tcW w:w="2268" w:type="dxa"/>
          </w:tcPr>
          <w:p w:rsidR="00FA4E4D" w:rsidRPr="00A633B0" w:rsidRDefault="00FA4E4D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FA4E4D" w:rsidRPr="00A633B0" w:rsidRDefault="00FA4E4D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A4E4D" w:rsidRPr="00A633B0" w:rsidRDefault="00FA4E4D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192012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192012" w:rsidRDefault="00192012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100 oppervlakte - 3½ m.</w:t>
            </w:r>
          </w:p>
        </w:tc>
        <w:tc>
          <w:tcPr>
            <w:tcW w:w="2268" w:type="dxa"/>
          </w:tcPr>
          <w:p w:rsidR="00192012" w:rsidRPr="00A633B0" w:rsidRDefault="00192012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192012" w:rsidRPr="00A633B0" w:rsidRDefault="00192012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92012" w:rsidRPr="00A633B0" w:rsidRDefault="00192012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100 ½ D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100 B+3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192012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192012" w:rsidRDefault="00192012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135 oppervlakte - 3½ m.</w:t>
            </w:r>
          </w:p>
        </w:tc>
        <w:tc>
          <w:tcPr>
            <w:tcW w:w="2268" w:type="dxa"/>
          </w:tcPr>
          <w:p w:rsidR="00192012" w:rsidRPr="00A633B0" w:rsidRDefault="00192012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</w:tcPr>
          <w:p w:rsidR="00192012" w:rsidRPr="00A633B0" w:rsidRDefault="00192012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192012" w:rsidRPr="00A633B0" w:rsidRDefault="00192012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135 ½ D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135 B+3</w:t>
            </w: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69526E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69526E" w:rsidRDefault="0069526E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175 oppervlakte - 3½ m.</w:t>
            </w:r>
          </w:p>
        </w:tc>
        <w:tc>
          <w:tcPr>
            <w:tcW w:w="2268" w:type="dxa"/>
            <w:tcBorders>
              <w:bottom w:val="nil"/>
            </w:tcBorders>
          </w:tcPr>
          <w:p w:rsidR="0069526E" w:rsidRPr="00A633B0" w:rsidRDefault="0069526E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bottom w:val="nil"/>
            </w:tcBorders>
          </w:tcPr>
          <w:p w:rsidR="0069526E" w:rsidRPr="00A633B0" w:rsidRDefault="0069526E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nil"/>
              <w:right w:val="single" w:sz="6" w:space="0" w:color="auto"/>
            </w:tcBorders>
          </w:tcPr>
          <w:p w:rsidR="0069526E" w:rsidRPr="00A633B0" w:rsidRDefault="0069526E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175 ½ D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DF6556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DF6556" w:rsidRDefault="00DF6556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175 B+3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DF6556" w:rsidRPr="00A633B0" w:rsidRDefault="00DF6556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DF6556" w:rsidRPr="00A633B0" w:rsidRDefault="00DF6556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235 oppervlakte - 3½ m.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  <w:r>
              <w:rPr>
                <w:rFonts w:ascii="V&amp;W Syntax (Adobe)" w:hAnsi="V&amp;W Syntax (Adobe)"/>
                <w:b/>
                <w:sz w:val="24"/>
                <w:szCs w:val="24"/>
              </w:rPr>
              <w:t>250</w:t>
            </w: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235 ½ D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Terschelling 235 B+3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Rottum 3 oppervlakte - 3½ m.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Rottum 50 oppervlakte - 3½ m.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Rottum 70 oppervlakte - 3½ m.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Rottum 70 ½ D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  <w:tr w:rsidR="00F11E90" w:rsidTr="008864BE">
        <w:trPr>
          <w:trHeight w:val="369"/>
        </w:trPr>
        <w:tc>
          <w:tcPr>
            <w:tcW w:w="361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F11E90" w:rsidRDefault="00F11E90" w:rsidP="008864BE">
            <w:pPr>
              <w:rPr>
                <w:rFonts w:ascii="V&amp;W Syntax (Adobe)" w:hAnsi="V&amp;W Syntax (Adobe)"/>
                <w:b/>
              </w:rPr>
            </w:pPr>
            <w:r>
              <w:rPr>
                <w:rFonts w:ascii="V&amp;W Syntax (Adobe)" w:hAnsi="V&amp;W Syntax (Adobe)"/>
                <w:b/>
              </w:rPr>
              <w:t>Rottum 70 B+3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F11E90" w:rsidRPr="00A633B0" w:rsidRDefault="00F11E90" w:rsidP="008864BE">
            <w:pPr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11E90" w:rsidRPr="00A633B0" w:rsidRDefault="00F11E90" w:rsidP="008864BE">
            <w:pPr>
              <w:ind w:right="-142"/>
              <w:jc w:val="center"/>
              <w:rPr>
                <w:rFonts w:ascii="V&amp;W Syntax (Adobe)" w:hAnsi="V&amp;W Syntax (Adobe)"/>
                <w:b/>
                <w:sz w:val="24"/>
                <w:szCs w:val="24"/>
              </w:rPr>
            </w:pPr>
          </w:p>
        </w:tc>
      </w:tr>
    </w:tbl>
    <w:p w:rsidR="00AF0B6D" w:rsidRDefault="008864BE">
      <w:pPr>
        <w:textAlignment w:val="auto"/>
        <w:rPr>
          <w:rFonts w:ascii="V&amp;W Syntax (Adobe)" w:hAnsi="V&amp;W Syntax (Adobe)"/>
          <w:color w:val="000000"/>
          <w:sz w:val="16"/>
          <w:szCs w:val="16"/>
          <w:lang w:val="nl-NL"/>
        </w:rPr>
      </w:pPr>
      <w:bookmarkStart w:id="0" w:name="_GoBack"/>
      <w:bookmarkEnd w:id="0"/>
      <w:r>
        <w:rPr>
          <w:rFonts w:ascii="V&amp;W Syntax (Adobe)" w:hAnsi="V&amp;W Syntax (Adobe)"/>
          <w:color w:val="000000"/>
          <w:sz w:val="16"/>
          <w:szCs w:val="16"/>
        </w:rPr>
        <w:br w:type="textWrapping" w:clear="all"/>
      </w:r>
      <w:r w:rsidR="00AF0B6D">
        <w:rPr>
          <w:rFonts w:ascii="V&amp;W Syntax (Adobe)" w:hAnsi="V&amp;W Syntax (Adobe)"/>
          <w:color w:val="000000"/>
          <w:sz w:val="16"/>
          <w:szCs w:val="16"/>
        </w:rPr>
        <w:t xml:space="preserve">RWS </w:t>
      </w:r>
      <w:r w:rsidR="00F954EA">
        <w:rPr>
          <w:rFonts w:ascii="V&amp;W Syntax (Adobe)" w:hAnsi="V&amp;W Syntax (Adobe)"/>
          <w:color w:val="000000"/>
          <w:sz w:val="16"/>
          <w:szCs w:val="16"/>
        </w:rPr>
        <w:t>CIV</w:t>
      </w:r>
      <w:r w:rsidR="00AF0B6D">
        <w:rPr>
          <w:rFonts w:ascii="V&amp;W Syntax (Adobe)" w:hAnsi="V&amp;W Syntax (Adobe)"/>
          <w:color w:val="000000"/>
          <w:sz w:val="16"/>
          <w:szCs w:val="16"/>
        </w:rPr>
        <w:t xml:space="preserve">, afdeling </w:t>
      </w:r>
      <w:r w:rsidR="00F954EA">
        <w:rPr>
          <w:rFonts w:ascii="V&amp;W Syntax (Adobe)" w:hAnsi="V&amp;W Syntax (Adobe)"/>
          <w:color w:val="000000"/>
          <w:sz w:val="16"/>
          <w:szCs w:val="16"/>
        </w:rPr>
        <w:t>regionale metingen</w:t>
      </w:r>
      <w:r w:rsidR="00AF0B6D">
        <w:rPr>
          <w:rFonts w:ascii="V&amp;W Syntax (Adobe)" w:hAnsi="V&amp;W Syntax (Adobe)"/>
          <w:color w:val="000000"/>
          <w:sz w:val="16"/>
          <w:szCs w:val="16"/>
        </w:rPr>
        <w:t xml:space="preserve">, Uitvoering </w:t>
      </w:r>
      <w:r w:rsidR="00F954EA">
        <w:rPr>
          <w:rFonts w:ascii="V&amp;W Syntax (Adobe)" w:hAnsi="V&amp;W Syntax (Adobe)"/>
          <w:color w:val="000000"/>
          <w:sz w:val="16"/>
          <w:szCs w:val="16"/>
        </w:rPr>
        <w:t>Zee en Delta</w:t>
      </w:r>
      <w:r w:rsidR="00AF0B6D">
        <w:rPr>
          <w:rFonts w:ascii="V&amp;W Syntax (Adobe)" w:hAnsi="V&amp;W Syntax (Adobe)"/>
          <w:color w:val="000000"/>
          <w:sz w:val="16"/>
          <w:szCs w:val="16"/>
        </w:rPr>
        <w:t>, ms. Zirfaea</w:t>
      </w:r>
      <w:r w:rsidR="00AF0B6D">
        <w:rPr>
          <w:rFonts w:ascii="V&amp;W Syntax (Adobe)" w:hAnsi="V&amp;W Syntax (Adobe)"/>
          <w:color w:val="000000"/>
          <w:sz w:val="16"/>
          <w:szCs w:val="16"/>
        </w:rPr>
        <w:tab/>
      </w:r>
      <w:r w:rsidR="00AF0B6D">
        <w:rPr>
          <w:rFonts w:ascii="V&amp;W Syntax (Adobe)" w:hAnsi="V&amp;W Syntax (Adobe)"/>
          <w:color w:val="000000"/>
          <w:sz w:val="16"/>
          <w:szCs w:val="16"/>
        </w:rPr>
        <w:tab/>
      </w:r>
      <w:r w:rsidR="00AF0B6D">
        <w:rPr>
          <w:rFonts w:ascii="V&amp;W Syntax (Adobe)" w:hAnsi="V&amp;W Syntax (Adobe)"/>
          <w:color w:val="000000"/>
          <w:sz w:val="16"/>
          <w:szCs w:val="16"/>
        </w:rPr>
        <w:tab/>
      </w:r>
      <w:r w:rsidR="00AF0B6D">
        <w:rPr>
          <w:rFonts w:ascii="V&amp;W Syntax (Adobe)" w:hAnsi="V&amp;W Syntax (Adobe)"/>
          <w:color w:val="000000"/>
          <w:sz w:val="16"/>
          <w:szCs w:val="16"/>
        </w:rPr>
        <w:tab/>
      </w:r>
      <w:r w:rsidR="00AF0B6D">
        <w:rPr>
          <w:rFonts w:ascii="V&amp;W Syntax (Adobe)" w:hAnsi="V&amp;W Syntax (Adobe)"/>
          <w:color w:val="000000"/>
          <w:sz w:val="16"/>
          <w:szCs w:val="16"/>
        </w:rPr>
        <w:tab/>
      </w:r>
      <w:r w:rsidR="00AF0B6D">
        <w:rPr>
          <w:rFonts w:ascii="V&amp;W Syntax (Adobe)" w:hAnsi="V&amp;W Syntax (Adobe)"/>
          <w:color w:val="000000"/>
          <w:sz w:val="16"/>
          <w:szCs w:val="16"/>
        </w:rPr>
        <w:tab/>
      </w:r>
      <w:r w:rsidR="00AF0B6D">
        <w:rPr>
          <w:rFonts w:ascii="V&amp;W Syntax (Adobe)" w:hAnsi="V&amp;W Syntax (Adobe)"/>
          <w:sz w:val="16"/>
          <w:lang w:val="nl-NL"/>
        </w:rPr>
        <w:fldChar w:fldCharType="begin"/>
      </w:r>
      <w:r w:rsidR="00AF0B6D">
        <w:rPr>
          <w:rFonts w:ascii="V&amp;W Syntax (Adobe)" w:hAnsi="V&amp;W Syntax (Adobe)"/>
          <w:sz w:val="16"/>
          <w:lang w:val="nl-NL"/>
        </w:rPr>
        <w:instrText xml:space="preserve"> DATE \@ "dd-MMM-yy" </w:instrText>
      </w:r>
      <w:r w:rsidR="00AF0B6D">
        <w:rPr>
          <w:rFonts w:ascii="V&amp;W Syntax (Adobe)" w:hAnsi="V&amp;W Syntax (Adobe)"/>
          <w:sz w:val="16"/>
          <w:lang w:val="nl-NL"/>
        </w:rPr>
        <w:fldChar w:fldCharType="separate"/>
      </w:r>
      <w:r w:rsidR="00926586">
        <w:rPr>
          <w:rFonts w:ascii="V&amp;W Syntax (Adobe)" w:hAnsi="V&amp;W Syntax (Adobe)"/>
          <w:noProof/>
          <w:sz w:val="16"/>
          <w:lang w:val="nl-NL"/>
        </w:rPr>
        <w:t>15-apr-20</w:t>
      </w:r>
      <w:r w:rsidR="00AF0B6D">
        <w:rPr>
          <w:rFonts w:ascii="V&amp;W Syntax (Adobe)" w:hAnsi="V&amp;W Syntax (Adobe)"/>
          <w:sz w:val="16"/>
          <w:lang w:val="nl-NL"/>
        </w:rPr>
        <w:fldChar w:fldCharType="end"/>
      </w:r>
    </w:p>
    <w:p w:rsidR="00AF0B6D" w:rsidRDefault="00AF0B6D">
      <w:pPr>
        <w:rPr>
          <w:rFonts w:ascii="V&amp;W Syntax (Adobe)" w:hAnsi="V&amp;W Syntax (Adobe)"/>
        </w:rPr>
      </w:pPr>
    </w:p>
    <w:sectPr w:rsidR="00AF0B6D">
      <w:headerReference w:type="default" r:id="rId8"/>
      <w:footerReference w:type="default" r:id="rId9"/>
      <w:pgSz w:w="11907" w:h="16840"/>
      <w:pgMar w:top="1418" w:right="193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75" w:rsidRDefault="000C0375">
      <w:r>
        <w:separator/>
      </w:r>
    </w:p>
  </w:endnote>
  <w:endnote w:type="continuationSeparator" w:id="0">
    <w:p w:rsidR="000C0375" w:rsidRDefault="000C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&amp;W Syntax (Adobe)">
    <w:altName w:val="Segoe UI"/>
    <w:panose1 w:val="020B0500000000000000"/>
    <w:charset w:val="00"/>
    <w:family w:val="swiss"/>
    <w:pitch w:val="variable"/>
    <w:sig w:usb0="00000001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C" w:rsidRDefault="009A651C">
    <w:pPr>
      <w:pStyle w:val="Voettekst"/>
      <w:jc w:val="center"/>
      <w:rPr>
        <w:rFonts w:ascii="V&amp;W Syntax (Adobe)" w:hAnsi="V&amp;W Syntax (Adobe)"/>
        <w:b/>
        <w:bCs/>
        <w:i/>
        <w:iCs/>
        <w:color w:val="999999"/>
        <w:sz w:val="16"/>
      </w:rPr>
    </w:pPr>
    <w:r>
      <w:rPr>
        <w:rFonts w:ascii="V&amp;W Syntax (Adobe)" w:hAnsi="V&amp;W Syntax (Adobe)"/>
        <w:b/>
        <w:bCs/>
        <w:i/>
        <w:iCs/>
        <w:color w:val="999999"/>
        <w:sz w:val="16"/>
      </w:rPr>
      <w:t>Zorg dat je bij het verwerken van de monster, gebruik chemicaliën de voorgeschreven veiligheidsmiddelen draagt.</w:t>
    </w:r>
  </w:p>
  <w:p w:rsidR="009A651C" w:rsidRDefault="009A651C">
    <w:pPr>
      <w:pStyle w:val="Voettekst"/>
      <w:jc w:val="center"/>
    </w:pPr>
    <w:r>
      <w:rPr>
        <w:rFonts w:ascii="V&amp;W Syntax (Adobe)" w:hAnsi="V&amp;W Syntax (Adobe)"/>
        <w:b/>
        <w:bCs/>
        <w:i/>
        <w:iCs/>
        <w:color w:val="999999"/>
        <w:sz w:val="16"/>
      </w:rPr>
      <w:t>Zie handboek werken WSM 4.12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75" w:rsidRDefault="000C0375">
      <w:r>
        <w:separator/>
      </w:r>
    </w:p>
  </w:footnote>
  <w:footnote w:type="continuationSeparator" w:id="0">
    <w:p w:rsidR="000C0375" w:rsidRDefault="000C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48" w:rsidRDefault="009A651C" w:rsidP="00703A3B">
    <w:pPr>
      <w:pStyle w:val="Koptekst"/>
      <w:ind w:right="374"/>
      <w:rPr>
        <w:rFonts w:ascii="V&amp;W Syntax (Adobe)" w:hAnsi="V&amp;W Syntax (Adobe)"/>
      </w:rPr>
    </w:pPr>
    <w:r>
      <w:rPr>
        <w:rFonts w:ascii="V&amp;W Syntax (Adobe)" w:hAnsi="V&amp;W Syntax (Adobe)"/>
      </w:rPr>
      <w:tab/>
    </w:r>
    <w:r>
      <w:rPr>
        <w:rFonts w:ascii="V&amp;W Syntax (Adobe)" w:hAnsi="V&amp;W Syntax (Adobe)"/>
        <w:b/>
        <w:bCs/>
      </w:rPr>
      <w:t xml:space="preserve">                                                              </w:t>
    </w:r>
    <w:r>
      <w:rPr>
        <w:rFonts w:ascii="V&amp;W Syntax (Adobe)" w:hAnsi="V&amp;W Syntax (Adobe)"/>
        <w:b/>
        <w:bCs/>
        <w:sz w:val="24"/>
      </w:rPr>
      <w:t>FILTRATIE FORMULIER</w:t>
    </w:r>
    <w:r>
      <w:rPr>
        <w:rFonts w:ascii="V&amp;W Syntax (Adobe)" w:hAnsi="V&amp;W Syntax (Adobe)"/>
      </w:rPr>
      <w:t xml:space="preserve">                                     WEEK:</w:t>
    </w:r>
    <w:r w:rsidR="00F7331A">
      <w:rPr>
        <w:rFonts w:ascii="V&amp;W Syntax (Adobe)" w:hAnsi="V&amp;W Syntax (Adobe)"/>
      </w:rPr>
      <w:t xml:space="preserve"> </w:t>
    </w:r>
    <w:r w:rsidR="00926878">
      <w:rPr>
        <w:rFonts w:ascii="V&amp;W Syntax (Adobe)" w:hAnsi="V&amp;W Syntax (Adobe)"/>
      </w:rPr>
      <w:t>16 -2020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08"/>
    <w:rsid w:val="00016660"/>
    <w:rsid w:val="00020999"/>
    <w:rsid w:val="00032487"/>
    <w:rsid w:val="00041008"/>
    <w:rsid w:val="000A711D"/>
    <w:rsid w:val="000C0375"/>
    <w:rsid w:val="000D123B"/>
    <w:rsid w:val="00192012"/>
    <w:rsid w:val="00201E2C"/>
    <w:rsid w:val="002B12AC"/>
    <w:rsid w:val="002D3636"/>
    <w:rsid w:val="002E12AF"/>
    <w:rsid w:val="00383B52"/>
    <w:rsid w:val="003A7A17"/>
    <w:rsid w:val="003C3BD8"/>
    <w:rsid w:val="003C4376"/>
    <w:rsid w:val="003E0B10"/>
    <w:rsid w:val="00443F10"/>
    <w:rsid w:val="00464588"/>
    <w:rsid w:val="004662CA"/>
    <w:rsid w:val="004E15A9"/>
    <w:rsid w:val="004E2EB6"/>
    <w:rsid w:val="005057EF"/>
    <w:rsid w:val="005205D3"/>
    <w:rsid w:val="00526927"/>
    <w:rsid w:val="0054038C"/>
    <w:rsid w:val="00557605"/>
    <w:rsid w:val="00585B31"/>
    <w:rsid w:val="005A6B59"/>
    <w:rsid w:val="005E1C18"/>
    <w:rsid w:val="006478F8"/>
    <w:rsid w:val="0069526E"/>
    <w:rsid w:val="006C74DE"/>
    <w:rsid w:val="006D2273"/>
    <w:rsid w:val="00702036"/>
    <w:rsid w:val="00703A3B"/>
    <w:rsid w:val="00750DFD"/>
    <w:rsid w:val="00770657"/>
    <w:rsid w:val="007710FB"/>
    <w:rsid w:val="00791BE1"/>
    <w:rsid w:val="007B1C08"/>
    <w:rsid w:val="007C3FC6"/>
    <w:rsid w:val="007E2603"/>
    <w:rsid w:val="008414AB"/>
    <w:rsid w:val="00882DA2"/>
    <w:rsid w:val="008864BE"/>
    <w:rsid w:val="008E15A7"/>
    <w:rsid w:val="00903798"/>
    <w:rsid w:val="00926586"/>
    <w:rsid w:val="00926878"/>
    <w:rsid w:val="00927548"/>
    <w:rsid w:val="009401D8"/>
    <w:rsid w:val="00994C9D"/>
    <w:rsid w:val="009A651C"/>
    <w:rsid w:val="00A2144F"/>
    <w:rsid w:val="00A315C4"/>
    <w:rsid w:val="00A34FAF"/>
    <w:rsid w:val="00A51570"/>
    <w:rsid w:val="00A633B0"/>
    <w:rsid w:val="00A957C6"/>
    <w:rsid w:val="00AD4562"/>
    <w:rsid w:val="00AF0B6D"/>
    <w:rsid w:val="00B554B3"/>
    <w:rsid w:val="00BB431C"/>
    <w:rsid w:val="00C05C13"/>
    <w:rsid w:val="00C343C3"/>
    <w:rsid w:val="00C42BDB"/>
    <w:rsid w:val="00C83F48"/>
    <w:rsid w:val="00C9476E"/>
    <w:rsid w:val="00C95139"/>
    <w:rsid w:val="00CB745D"/>
    <w:rsid w:val="00CD64D1"/>
    <w:rsid w:val="00D32E97"/>
    <w:rsid w:val="00D52A01"/>
    <w:rsid w:val="00D52C38"/>
    <w:rsid w:val="00D57ACC"/>
    <w:rsid w:val="00DC4D8F"/>
    <w:rsid w:val="00DF6556"/>
    <w:rsid w:val="00E824FF"/>
    <w:rsid w:val="00E939F9"/>
    <w:rsid w:val="00F11E90"/>
    <w:rsid w:val="00F161FA"/>
    <w:rsid w:val="00F7331A"/>
    <w:rsid w:val="00F954EA"/>
    <w:rsid w:val="00FA4E4D"/>
    <w:rsid w:val="00FE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8E15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15A7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8E15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E15A7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Meetpunt</vt:lpstr>
    </vt:vector>
  </TitlesOfParts>
  <Company>Rijkswaterstaat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Meetpunt</dc:title>
  <dc:creator>Directie Noordzee</dc:creator>
  <cp:lastModifiedBy>gebruiker</cp:lastModifiedBy>
  <cp:revision>25</cp:revision>
  <cp:lastPrinted>2018-04-16T10:55:00Z</cp:lastPrinted>
  <dcterms:created xsi:type="dcterms:W3CDTF">2018-09-12T14:21:00Z</dcterms:created>
  <dcterms:modified xsi:type="dcterms:W3CDTF">2020-04-16T07:25:00Z</dcterms:modified>
</cp:coreProperties>
</file>